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0662AB" w14:textId="18DB8573" w:rsidR="00010E2E" w:rsidRPr="00B266B0" w:rsidRDefault="00010E2E" w:rsidP="00010E2E">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w:t>
      </w:r>
      <w:r w:rsidR="000E1E38">
        <w:rPr>
          <w:bCs/>
          <w:noProof w:val="0"/>
          <w:sz w:val="24"/>
          <w:szCs w:val="24"/>
        </w:rPr>
        <w:t>bis</w:t>
      </w:r>
      <w:r>
        <w:rPr>
          <w:bCs/>
          <w:noProof w:val="0"/>
          <w:sz w:val="24"/>
          <w:szCs w:val="24"/>
        </w:rPr>
        <w:t xml:space="preserve"> Electronic</w:t>
      </w:r>
      <w:r w:rsidRPr="00B266B0">
        <w:rPr>
          <w:bCs/>
          <w:noProof w:val="0"/>
          <w:sz w:val="24"/>
          <w:szCs w:val="24"/>
        </w:rPr>
        <w:tab/>
      </w:r>
      <w:r w:rsidR="00FC7F3D" w:rsidRPr="00FC7F3D">
        <w:rPr>
          <w:bCs/>
          <w:noProof w:val="0"/>
          <w:sz w:val="24"/>
          <w:szCs w:val="24"/>
        </w:rPr>
        <w:t>R2-210</w:t>
      </w:r>
      <w:r w:rsidR="006C7380">
        <w:rPr>
          <w:bCs/>
          <w:noProof w:val="0"/>
          <w:sz w:val="24"/>
          <w:szCs w:val="24"/>
        </w:rPr>
        <w:t>3530</w:t>
      </w:r>
    </w:p>
    <w:p w14:paraId="11776FA6" w14:textId="260C9DEC" w:rsidR="00A209D6" w:rsidRPr="00465587" w:rsidRDefault="00F336E3" w:rsidP="00010E2E">
      <w:pPr>
        <w:pStyle w:val="Header"/>
        <w:tabs>
          <w:tab w:val="right" w:pos="9639"/>
        </w:tabs>
        <w:rPr>
          <w:rFonts w:eastAsia="SimSun"/>
          <w:bCs/>
          <w:sz w:val="24"/>
          <w:szCs w:val="24"/>
          <w:lang w:eastAsia="zh-CN"/>
        </w:rPr>
      </w:pPr>
      <w:r w:rsidRPr="00F336E3">
        <w:rPr>
          <w:rFonts w:eastAsia="SimSun"/>
          <w:bCs/>
          <w:sz w:val="24"/>
          <w:szCs w:val="24"/>
          <w:lang w:eastAsia="zh-CN"/>
        </w:rPr>
        <w:t>Online, April 12 – April 20,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FCA948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E1E38" w:rsidRPr="000E1E38">
        <w:rPr>
          <w:rFonts w:cs="Arial"/>
          <w:b/>
          <w:bCs/>
          <w:sz w:val="24"/>
          <w:lang w:eastAsia="ja-JP"/>
        </w:rPr>
        <w:t>8.12.3.</w:t>
      </w:r>
      <w:r w:rsidR="003F1E4F">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D8FFB3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F1E4F">
        <w:rPr>
          <w:rFonts w:ascii="Arial" w:hAnsi="Arial" w:cs="Arial"/>
          <w:b/>
          <w:bCs/>
          <w:sz w:val="24"/>
        </w:rPr>
        <w:t xml:space="preserve">eDRX </w:t>
      </w:r>
      <w:r w:rsidR="00BB7A4F">
        <w:rPr>
          <w:rFonts w:ascii="Arial" w:hAnsi="Arial" w:cs="Arial"/>
          <w:b/>
          <w:bCs/>
          <w:sz w:val="24"/>
        </w:rPr>
        <w:t>for REDCAP</w:t>
      </w:r>
    </w:p>
    <w:p w14:paraId="1F147C23" w14:textId="2C0C4D6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23211" w:rsidRPr="00123211">
        <w:rPr>
          <w:rFonts w:ascii="Arial" w:hAnsi="Arial" w:cs="Arial"/>
          <w:b/>
          <w:bCs/>
          <w:sz w:val="24"/>
        </w:rPr>
        <w:t xml:space="preserve">NR_redcap-Core </w:t>
      </w:r>
      <w:r>
        <w:rPr>
          <w:rFonts w:ascii="Arial" w:hAnsi="Arial" w:cs="Arial"/>
          <w:b/>
          <w:bCs/>
          <w:sz w:val="24"/>
        </w:rPr>
        <w:t xml:space="preserve">- Release </w:t>
      </w:r>
      <w:r w:rsidR="0060788F">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5D93A5B2" w:rsidR="007F2E08" w:rsidRDefault="00C4400C" w:rsidP="00A209D6">
      <w:r>
        <w:t xml:space="preserve">RAN2 objectives for </w:t>
      </w:r>
      <w:r w:rsidR="0060788F">
        <w:t xml:space="preserve">reduced capability (REDCAP) devices </w:t>
      </w:r>
      <w:r w:rsidR="00952A14">
        <w:t>were</w:t>
      </w:r>
      <w:r w:rsidR="0060788F">
        <w:t xml:space="preserve"> approved in </w:t>
      </w:r>
      <w:hyperlink r:id="rId12" w:history="1">
        <w:r w:rsidR="0060788F" w:rsidRPr="0060788F">
          <w:rPr>
            <w:rStyle w:val="Hyperlink"/>
          </w:rPr>
          <w:t>RP-</w:t>
        </w:r>
        <w:r w:rsidR="008B013D">
          <w:rPr>
            <w:rStyle w:val="Hyperlink"/>
          </w:rPr>
          <w:t>210</w:t>
        </w:r>
        <w:r w:rsidR="003B462F">
          <w:rPr>
            <w:rStyle w:val="Hyperlink"/>
          </w:rPr>
          <w:t>918</w:t>
        </w:r>
      </w:hyperlink>
      <w:r w:rsidR="0060788F">
        <w:t>.</w:t>
      </w:r>
    </w:p>
    <w:p w14:paraId="67463B6A" w14:textId="5B34C47C" w:rsidR="001E155B" w:rsidRDefault="00532D22" w:rsidP="00532D22">
      <w:r>
        <w:t xml:space="preserve">In this contribution we discuss </w:t>
      </w:r>
      <w:r w:rsidR="003F1E4F">
        <w:t xml:space="preserve">eDRX </w:t>
      </w:r>
      <w:r>
        <w:t xml:space="preserve">as per the following </w:t>
      </w:r>
      <w:r w:rsidR="003F1E4F">
        <w:t xml:space="preserve">work </w:t>
      </w:r>
      <w:r>
        <w:t>item objective</w:t>
      </w:r>
      <w:r w:rsidR="001E155B">
        <w:t>:</w:t>
      </w:r>
    </w:p>
    <w:tbl>
      <w:tblPr>
        <w:tblStyle w:val="TableGrid"/>
        <w:tblpPr w:leftFromText="141" w:rightFromText="141" w:vertAnchor="text" w:horzAnchor="margin" w:tblpY="328"/>
        <w:tblW w:w="0" w:type="auto"/>
        <w:tblLook w:val="04A0" w:firstRow="1" w:lastRow="0" w:firstColumn="1" w:lastColumn="0" w:noHBand="0" w:noVBand="1"/>
      </w:tblPr>
      <w:tblGrid>
        <w:gridCol w:w="9631"/>
      </w:tblGrid>
      <w:tr w:rsidR="00AB56F9" w14:paraId="154680F3" w14:textId="77777777" w:rsidTr="00AB56F9">
        <w:tc>
          <w:tcPr>
            <w:tcW w:w="9631" w:type="dxa"/>
            <w:shd w:val="clear" w:color="auto" w:fill="F2F2F2" w:themeFill="background1" w:themeFillShade="F2"/>
          </w:tcPr>
          <w:p w14:paraId="3A9B2FA8" w14:textId="77777777" w:rsidR="003F1E4F" w:rsidRDefault="003F1E4F" w:rsidP="003F1E4F">
            <w:pPr>
              <w:pStyle w:val="B1"/>
              <w:numPr>
                <w:ilvl w:val="0"/>
                <w:numId w:val="8"/>
              </w:numPr>
              <w:overflowPunct w:val="0"/>
              <w:autoSpaceDE w:val="0"/>
              <w:autoSpaceDN w:val="0"/>
              <w:adjustRightInd w:val="0"/>
              <w:jc w:val="both"/>
              <w:rPr>
                <w:rFonts w:eastAsia="SimSun"/>
                <w:lang w:val="en-US" w:eastAsia="ja-JP"/>
              </w:rPr>
            </w:pPr>
            <w:r>
              <w:rPr>
                <w:rFonts w:eastAsia="SimSun"/>
                <w:lang w:val="en-US" w:eastAsia="ja-JP"/>
              </w:rPr>
              <w:t>Specify support for the following Extended DRX enhancements for RedCap UEs [RAN2, RAN3, RAN4]:</w:t>
            </w:r>
          </w:p>
          <w:p w14:paraId="6E801EAA" w14:textId="77777777" w:rsidR="003F1E4F" w:rsidRDefault="003F1E4F" w:rsidP="003F1E4F">
            <w:pPr>
              <w:pStyle w:val="B1"/>
              <w:numPr>
                <w:ilvl w:val="1"/>
                <w:numId w:val="8"/>
              </w:numPr>
              <w:overflowPunct w:val="0"/>
              <w:autoSpaceDE w:val="0"/>
              <w:autoSpaceDN w:val="0"/>
              <w:adjustRightInd w:val="0"/>
              <w:jc w:val="both"/>
              <w:rPr>
                <w:rFonts w:eastAsia="SimSun"/>
                <w:bCs/>
                <w:lang w:val="en-US" w:eastAsia="ja-JP"/>
              </w:rPr>
            </w:pPr>
            <w:r>
              <w:rPr>
                <w:rFonts w:eastAsia="SimSun"/>
                <w:bCs/>
                <w:lang w:val="en-US" w:eastAsia="ja-JP"/>
              </w:rPr>
              <w:t>Extended DRX for RRC Inactive and Idle with eDRX cycles up to 10.24 s, without using PTW and PH, and with common design (e.g. common set of eDRX values) between RRC Inactive and Idle</w:t>
            </w:r>
          </w:p>
          <w:p w14:paraId="44254968" w14:textId="77777777" w:rsidR="003F1E4F" w:rsidRDefault="003F1E4F" w:rsidP="003F1E4F">
            <w:pPr>
              <w:pStyle w:val="B1"/>
              <w:numPr>
                <w:ilvl w:val="1"/>
                <w:numId w:val="8"/>
              </w:numPr>
              <w:overflowPunct w:val="0"/>
              <w:autoSpaceDE w:val="0"/>
              <w:autoSpaceDN w:val="0"/>
              <w:adjustRightInd w:val="0"/>
              <w:jc w:val="both"/>
              <w:rPr>
                <w:rFonts w:eastAsia="MS Mincho"/>
              </w:rPr>
            </w:pPr>
            <w:r>
              <w:rPr>
                <w:rFonts w:eastAsia="SimSun"/>
                <w:bCs/>
                <w:lang w:val="en-US" w:eastAsia="ja-JP"/>
              </w:rPr>
              <w:t xml:space="preserve">Extended DRX for RRC Inactive and Idle with eDRX cycles up to 10485.76 s; </w:t>
            </w:r>
            <w:r>
              <w:t>the details of mechanisms and feasibility regarding maximum length of the extended DRX cycles for RRC Inactive and Idle need to be checked by SA2, CT1 and/or RAN4.</w:t>
            </w:r>
          </w:p>
          <w:p w14:paraId="24380C8F" w14:textId="40C4407E" w:rsidR="00AB56F9" w:rsidRPr="001E155B" w:rsidRDefault="003F1E4F" w:rsidP="003F1E4F">
            <w:pPr>
              <w:pStyle w:val="B1"/>
              <w:numPr>
                <w:ilvl w:val="1"/>
                <w:numId w:val="8"/>
              </w:numPr>
              <w:overflowPunct w:val="0"/>
              <w:autoSpaceDE w:val="0"/>
              <w:autoSpaceDN w:val="0"/>
              <w:adjustRightInd w:val="0"/>
              <w:jc w:val="both"/>
            </w:pPr>
            <w:r>
              <w:rPr>
                <w:rFonts w:eastAsia="SimSun"/>
                <w:bCs/>
                <w:lang w:val="en-US" w:eastAsia="ja-JP"/>
              </w:rPr>
              <w:t>RAN2 to decide which Node(s) configure eDRX in RRC_Idle and RRC_Inactive.</w:t>
            </w:r>
          </w:p>
        </w:tc>
      </w:tr>
    </w:tbl>
    <w:p w14:paraId="401CDF6F" w14:textId="2EB47666" w:rsidR="00AB56F9" w:rsidRDefault="00AB56F9" w:rsidP="00532D22"/>
    <w:p w14:paraId="5C2EEF0F" w14:textId="40DFBB7B" w:rsidR="00AB56F9" w:rsidRDefault="00AB56F9" w:rsidP="00532D22"/>
    <w:p w14:paraId="2BBFF540" w14:textId="505EF270" w:rsidR="00A209D6" w:rsidRDefault="00A209D6" w:rsidP="00A209D6">
      <w:pPr>
        <w:pStyle w:val="Heading1"/>
      </w:pPr>
      <w:r w:rsidRPr="006E13D1">
        <w:t>2</w:t>
      </w:r>
      <w:r w:rsidRPr="006E13D1">
        <w:tab/>
      </w:r>
      <w:r w:rsidR="0060788F">
        <w:t>Discussion</w:t>
      </w:r>
    </w:p>
    <w:p w14:paraId="3A6998D4" w14:textId="797260D9" w:rsidR="00012254" w:rsidRDefault="00012254" w:rsidP="00012254">
      <w:pPr>
        <w:pStyle w:val="Heading2"/>
      </w:pPr>
      <w:r>
        <w:t>2.1</w:t>
      </w:r>
      <w:r>
        <w:tab/>
        <w:t>eDRX cycle lengths</w:t>
      </w:r>
    </w:p>
    <w:p w14:paraId="469AD5B9" w14:textId="308005C1" w:rsidR="00140808" w:rsidRDefault="00F050F3" w:rsidP="00D270B6">
      <w:r>
        <w:t>Based on the WID objectives, the eDRX cycles up to 10.24s do not apply PTW and PH. The values lower than 10.24s for eDRX should also be agreed – based on the study item, values of 5.12s (as in LTE) and 2.56s were proposed, which seem sufficient for eDRX cycles below 10.24s. These both can be applied for RRC_INACTIVE and RRC_IDLE eDRX.</w:t>
      </w:r>
    </w:p>
    <w:p w14:paraId="264BF803" w14:textId="0A466019" w:rsidR="00F050F3" w:rsidRDefault="00F050F3" w:rsidP="00D270B6">
      <w:pPr>
        <w:rPr>
          <w:b/>
          <w:bCs/>
        </w:rPr>
      </w:pPr>
      <w:r>
        <w:rPr>
          <w:b/>
          <w:bCs/>
        </w:rPr>
        <w:t>Proposal 1: Support eDRX cycles of 2.56s, 5.12s, and 10.24s without applying PTW and PH for both RRC_INACTIVE and RRC_IDLE.</w:t>
      </w:r>
    </w:p>
    <w:p w14:paraId="6CE69511" w14:textId="0BE1D8D2" w:rsidR="00F050F3" w:rsidRDefault="007D7125" w:rsidP="00D270B6">
      <w:r>
        <w:t>For beyond 10.24s eDRX cycles, the PTW and PH should be applied. Similarly, the H-SFN (Hyper SFN) needs to be introduced. Based on the work item objectives, the maximum eDRX cycle should reach a value up to 10485.76s which gives us the requirement for 10bit H-SFN. These can be applied for RRC_INACTIVE and RRC_IDLE eDRX – at least from RAN2 point of view.</w:t>
      </w:r>
    </w:p>
    <w:p w14:paraId="7C1D200D" w14:textId="44777F36" w:rsidR="007D7125" w:rsidRPr="007D7125" w:rsidRDefault="007D7125" w:rsidP="00D270B6">
      <w:pPr>
        <w:rPr>
          <w:b/>
          <w:bCs/>
        </w:rPr>
      </w:pPr>
      <w:r>
        <w:rPr>
          <w:b/>
          <w:bCs/>
        </w:rPr>
        <w:t>Proposal 2: Introduce PTW, PH and 10-bit H-SFN to support eDRX cycles up to 10485.76s for both RRC_INACTIVE and RRC_IDLE from RAN2 point of view.</w:t>
      </w:r>
    </w:p>
    <w:p w14:paraId="438A9FEE" w14:textId="28F3B0D7" w:rsidR="00F050F3" w:rsidRDefault="00012254" w:rsidP="00012254">
      <w:pPr>
        <w:pStyle w:val="Heading2"/>
      </w:pPr>
      <w:r>
        <w:t>2.2</w:t>
      </w:r>
      <w:r>
        <w:tab/>
        <w:t>Configuring node</w:t>
      </w:r>
    </w:p>
    <w:p w14:paraId="27D3F4AF" w14:textId="7DAACCED" w:rsidR="00012254" w:rsidRDefault="00012254" w:rsidP="00012254">
      <w:r>
        <w:t xml:space="preserve">For RRC_IDLE, since CN configures the UE specific DRX (if applied) cycle, it seems natural the same node configures also the possible eDRX cycle for the UE. However, for RRC_INACTIVE, the </w:t>
      </w:r>
      <w:r w:rsidR="00F7782B">
        <w:t xml:space="preserve">UE specific </w:t>
      </w:r>
      <w:r>
        <w:t>DRX is configured by RAN</w:t>
      </w:r>
      <w:r w:rsidR="00F7782B">
        <w:t xml:space="preserve"> in the </w:t>
      </w:r>
      <w:r w:rsidR="00F7782B" w:rsidRPr="00F7782B">
        <w:rPr>
          <w:i/>
          <w:iCs/>
        </w:rPr>
        <w:t>suspendConfig</w:t>
      </w:r>
      <w:r w:rsidR="00FD2ED8">
        <w:t xml:space="preserve">. From NW perspective, keeping the principle that RAN configures the DRX and eDRX cycles for the UE in RRC_INACTIVE, is beneficial and provides flexibility in handling all the UEs in RRC_INACTIVE mode </w:t>
      </w:r>
      <w:r w:rsidR="00FD2ED8">
        <w:lastRenderedPageBreak/>
        <w:t>from which CN does not have too much visibility (other than the anchor point of the RAN-CN interface).</w:t>
      </w:r>
      <w:r w:rsidR="00402DE7">
        <w:t xml:space="preserve"> RAN can then </w:t>
      </w:r>
      <w:proofErr w:type="gramStart"/>
      <w:r w:rsidR="00402DE7">
        <w:t>provide assistance</w:t>
      </w:r>
      <w:proofErr w:type="gramEnd"/>
      <w:r w:rsidR="00402DE7">
        <w:t xml:space="preserve"> information towards CN about DL data forwarding for UEs in RRC_INACTIVE.</w:t>
      </w:r>
    </w:p>
    <w:p w14:paraId="6DF3131A" w14:textId="116DF343" w:rsidR="00FD2ED8" w:rsidRDefault="00FD2ED8" w:rsidP="00012254">
      <w:pPr>
        <w:rPr>
          <w:b/>
          <w:bCs/>
        </w:rPr>
      </w:pPr>
      <w:r>
        <w:rPr>
          <w:b/>
          <w:bCs/>
        </w:rPr>
        <w:t>Proposal 3: CN configures eDRX for UE in RRC_IDLE.</w:t>
      </w:r>
    </w:p>
    <w:p w14:paraId="4219FE5F" w14:textId="298AC889" w:rsidR="00FD2ED8" w:rsidRPr="00FD2ED8" w:rsidRDefault="00FD2ED8" w:rsidP="00012254">
      <w:pPr>
        <w:rPr>
          <w:b/>
          <w:bCs/>
        </w:rPr>
      </w:pPr>
      <w:r>
        <w:rPr>
          <w:b/>
          <w:bCs/>
        </w:rPr>
        <w:t>Proposal 4: RAN configures eDRX for UE in RRC_INACTIVE.</w:t>
      </w:r>
    </w:p>
    <w:p w14:paraId="2CFAC422" w14:textId="63179ED2" w:rsidR="00F050F3" w:rsidRDefault="00FD2ED8" w:rsidP="00FD2ED8">
      <w:pPr>
        <w:pStyle w:val="Heading2"/>
      </w:pPr>
      <w:r>
        <w:t>2.3</w:t>
      </w:r>
      <w:r>
        <w:tab/>
        <w:t>Common design</w:t>
      </w:r>
    </w:p>
    <w:p w14:paraId="3DF841EB" w14:textId="66605EDD" w:rsidR="00402DE7" w:rsidRPr="00FD2ED8" w:rsidRDefault="00FD2ED8" w:rsidP="00FD2ED8">
      <w:r>
        <w:t xml:space="preserve">It seems good to apply the same eDRX cycle length values for both the eDRX in RRC_IDLE and RRC_INACTIVE, furthermore, the same PTW length values can also be applied – from our point of view, this provides means for the common design. However, it is desirable to allow, e.g., different eDRX cycle lengths to be applied in RRC_IDLE and RRC_INACTIVE modes. For instance, a requirement for the NW could be applied where the eDRX cycle for RRC_IDLE (or RRC_INACTIVE) is a multiple of the eDRX cycle configured for RRC_INACTIVE (or RRC_IDLE) so that the paging </w:t>
      </w:r>
      <w:r w:rsidR="00402DE7">
        <w:t xml:space="preserve">can still happen in the same PF and possibly within the same PTW. </w:t>
      </w:r>
    </w:p>
    <w:p w14:paraId="328C4269" w14:textId="2C065D96" w:rsidR="00FD2ED8" w:rsidRPr="00402DE7" w:rsidRDefault="00402DE7" w:rsidP="00D270B6">
      <w:pPr>
        <w:rPr>
          <w:b/>
          <w:bCs/>
        </w:rPr>
      </w:pPr>
      <w:r>
        <w:rPr>
          <w:b/>
          <w:bCs/>
        </w:rPr>
        <w:t>Proposal 5: RAN can configure different eDRX cycle length to be applied in RRC_INACTIVE than what CN configures to apply in RRC_IDLE.</w:t>
      </w:r>
    </w:p>
    <w:p w14:paraId="5FF2457F" w14:textId="47D0C173" w:rsidR="00A209D6" w:rsidRPr="006E13D1" w:rsidRDefault="0060788F" w:rsidP="00A209D6">
      <w:pPr>
        <w:pStyle w:val="Heading1"/>
      </w:pPr>
      <w:r>
        <w:t>3</w:t>
      </w:r>
      <w:r w:rsidR="00A209D6" w:rsidRPr="006E13D1">
        <w:tab/>
      </w:r>
      <w:r w:rsidR="008C3057">
        <w:t>Conclusion</w:t>
      </w:r>
    </w:p>
    <w:p w14:paraId="6C60FFDC" w14:textId="0DFB9462" w:rsidR="00A209D6" w:rsidRDefault="00DA6046" w:rsidP="00A209D6">
      <w:r>
        <w:t xml:space="preserve">In this contribution </w:t>
      </w:r>
      <w:r w:rsidR="00402DE7">
        <w:t xml:space="preserve">eDRX </w:t>
      </w:r>
      <w:r w:rsidR="002E1DC9" w:rsidRPr="00716167">
        <w:t xml:space="preserve">for REDCAP UE </w:t>
      </w:r>
      <w:r>
        <w:t xml:space="preserve">was discussed, and the following </w:t>
      </w:r>
      <w:r w:rsidR="001935FD">
        <w:t>is</w:t>
      </w:r>
      <w:r>
        <w:t xml:space="preserve"> proposed:</w:t>
      </w:r>
    </w:p>
    <w:p w14:paraId="14A4E9B0" w14:textId="77777777" w:rsidR="00402DE7" w:rsidRDefault="00402DE7" w:rsidP="00402DE7">
      <w:pPr>
        <w:rPr>
          <w:b/>
          <w:bCs/>
        </w:rPr>
      </w:pPr>
      <w:r>
        <w:rPr>
          <w:b/>
          <w:bCs/>
        </w:rPr>
        <w:t>Proposal 1: Support eDRX cycles of 2.56s, 5.12s, and 10.24s without applying PTW and PH for both RRC_INACTIVE and RRC_IDLE.</w:t>
      </w:r>
    </w:p>
    <w:p w14:paraId="15A5C7B4" w14:textId="77777777" w:rsidR="00402DE7" w:rsidRPr="007D7125" w:rsidRDefault="00402DE7" w:rsidP="00402DE7">
      <w:pPr>
        <w:rPr>
          <w:b/>
          <w:bCs/>
        </w:rPr>
      </w:pPr>
      <w:r>
        <w:rPr>
          <w:b/>
          <w:bCs/>
        </w:rPr>
        <w:t>Proposal 2: Introduce PTW, PH and 10-bit H-SFN to support eDRX cycles up to 10485.76s for both RRC_INACTIVE and RRC_IDLE from RAN2 point of view.</w:t>
      </w:r>
    </w:p>
    <w:p w14:paraId="13EAF1CD" w14:textId="77777777" w:rsidR="00402DE7" w:rsidRDefault="00402DE7" w:rsidP="00402DE7">
      <w:pPr>
        <w:rPr>
          <w:b/>
          <w:bCs/>
        </w:rPr>
      </w:pPr>
      <w:r>
        <w:rPr>
          <w:b/>
          <w:bCs/>
        </w:rPr>
        <w:t>Proposal 3: CN configures eDRX for UE in RRC_IDLE.</w:t>
      </w:r>
    </w:p>
    <w:p w14:paraId="374AFBCC" w14:textId="77777777" w:rsidR="00402DE7" w:rsidRPr="00FD2ED8" w:rsidRDefault="00402DE7" w:rsidP="00402DE7">
      <w:pPr>
        <w:rPr>
          <w:b/>
          <w:bCs/>
        </w:rPr>
      </w:pPr>
      <w:r>
        <w:rPr>
          <w:b/>
          <w:bCs/>
        </w:rPr>
        <w:t>Proposal 4: RAN configures eDRX for UE in RRC_INACTIVE.</w:t>
      </w:r>
    </w:p>
    <w:p w14:paraId="52AA8F09" w14:textId="77777777" w:rsidR="00402DE7" w:rsidRPr="00402DE7" w:rsidRDefault="00402DE7" w:rsidP="00402DE7">
      <w:pPr>
        <w:rPr>
          <w:b/>
          <w:bCs/>
        </w:rPr>
      </w:pPr>
      <w:r>
        <w:rPr>
          <w:b/>
          <w:bCs/>
        </w:rPr>
        <w:t>Proposal 5: RAN can configure different eDRX cycle length to be applied in RRC_INACTIVE than what CN configures to apply in RRC_IDLE.</w:t>
      </w:r>
    </w:p>
    <w:p w14:paraId="6E09CD0D" w14:textId="5935C0E2" w:rsidR="001935FD" w:rsidRDefault="001935FD" w:rsidP="00033319"/>
    <w:sectPr w:rsidR="001935F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AA4BDB" w14:textId="77777777" w:rsidR="00B14F00" w:rsidRDefault="00B14F00">
      <w:r>
        <w:separator/>
      </w:r>
    </w:p>
  </w:endnote>
  <w:endnote w:type="continuationSeparator" w:id="0">
    <w:p w14:paraId="567FAFDE" w14:textId="77777777" w:rsidR="00B14F00" w:rsidRDefault="00B14F00">
      <w:r>
        <w:continuationSeparator/>
      </w:r>
    </w:p>
  </w:endnote>
  <w:endnote w:type="continuationNotice" w:id="1">
    <w:p w14:paraId="12212196" w14:textId="77777777" w:rsidR="00B14F00" w:rsidRDefault="00B14F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087F52" w:rsidRDefault="00087F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087F52" w:rsidRDefault="00087F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087F52" w:rsidRDefault="00087F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931593" w14:textId="77777777" w:rsidR="00B14F00" w:rsidRDefault="00B14F00">
      <w:r>
        <w:separator/>
      </w:r>
    </w:p>
  </w:footnote>
  <w:footnote w:type="continuationSeparator" w:id="0">
    <w:p w14:paraId="2599DA06" w14:textId="77777777" w:rsidR="00B14F00" w:rsidRDefault="00B14F00">
      <w:r>
        <w:continuationSeparator/>
      </w:r>
    </w:p>
  </w:footnote>
  <w:footnote w:type="continuationNotice" w:id="1">
    <w:p w14:paraId="3A4D86DF" w14:textId="77777777" w:rsidR="00B14F00" w:rsidRDefault="00B14F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087F52" w:rsidRDefault="00087F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087F52" w:rsidRDefault="00087F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087F52" w:rsidRDefault="00087F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3" w15:restartNumberingAfterBreak="0">
    <w:nsid w:val="12E9282F"/>
    <w:multiLevelType w:val="hybridMultilevel"/>
    <w:tmpl w:val="81A896F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5C026F0"/>
    <w:multiLevelType w:val="hybridMultilevel"/>
    <w:tmpl w:val="1408EA8C"/>
    <w:lvl w:ilvl="0" w:tplc="6E2E7B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98034CC"/>
    <w:multiLevelType w:val="hybridMultilevel"/>
    <w:tmpl w:val="A2BA35C0"/>
    <w:lvl w:ilvl="0" w:tplc="5F1634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620345BD"/>
    <w:multiLevelType w:val="hybridMultilevel"/>
    <w:tmpl w:val="81A896F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CDD1CF4"/>
    <w:multiLevelType w:val="hybridMultilevel"/>
    <w:tmpl w:val="EF6A7BB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5463EDF"/>
    <w:multiLevelType w:val="hybridMultilevel"/>
    <w:tmpl w:val="3A2AB3F6"/>
    <w:lvl w:ilvl="0" w:tplc="5E681A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0"/>
  </w:num>
  <w:num w:numId="7">
    <w:abstractNumId w:val="11"/>
  </w:num>
  <w:num w:numId="8">
    <w:abstractNumId w:val="5"/>
  </w:num>
  <w:num w:numId="9">
    <w:abstractNumId w:val="9"/>
  </w:num>
  <w:num w:numId="10">
    <w:abstractNumId w:val="14"/>
  </w:num>
  <w:num w:numId="11">
    <w:abstractNumId w:val="4"/>
  </w:num>
  <w:num w:numId="12">
    <w:abstractNumId w:val="13"/>
  </w:num>
  <w:num w:numId="13">
    <w:abstractNumId w:val="3"/>
  </w:num>
  <w:num w:numId="14">
    <w:abstractNumId w:val="12"/>
  </w:num>
  <w:num w:numId="15">
    <w:abstractNumId w:val="2"/>
  </w:num>
  <w:num w:numId="16">
    <w:abstractNumId w:val="6"/>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E2E"/>
    <w:rsid w:val="00012254"/>
    <w:rsid w:val="00014785"/>
    <w:rsid w:val="00016557"/>
    <w:rsid w:val="00023C40"/>
    <w:rsid w:val="00033319"/>
    <w:rsid w:val="00033397"/>
    <w:rsid w:val="00040095"/>
    <w:rsid w:val="00043B1D"/>
    <w:rsid w:val="00047AA2"/>
    <w:rsid w:val="00054B95"/>
    <w:rsid w:val="00061279"/>
    <w:rsid w:val="00073C9C"/>
    <w:rsid w:val="00080512"/>
    <w:rsid w:val="00087F52"/>
    <w:rsid w:val="00090468"/>
    <w:rsid w:val="00094568"/>
    <w:rsid w:val="000B2813"/>
    <w:rsid w:val="000B7BCF"/>
    <w:rsid w:val="000C522B"/>
    <w:rsid w:val="000D58AB"/>
    <w:rsid w:val="000E1E38"/>
    <w:rsid w:val="00111CED"/>
    <w:rsid w:val="00112F1A"/>
    <w:rsid w:val="00115CDD"/>
    <w:rsid w:val="00123211"/>
    <w:rsid w:val="00132EEB"/>
    <w:rsid w:val="00140808"/>
    <w:rsid w:val="00145075"/>
    <w:rsid w:val="00151F41"/>
    <w:rsid w:val="00162E47"/>
    <w:rsid w:val="00173821"/>
    <w:rsid w:val="001741A0"/>
    <w:rsid w:val="00175FA0"/>
    <w:rsid w:val="001935FD"/>
    <w:rsid w:val="00194CD0"/>
    <w:rsid w:val="001B49C9"/>
    <w:rsid w:val="001B4B27"/>
    <w:rsid w:val="001C23DF"/>
    <w:rsid w:val="001C23F4"/>
    <w:rsid w:val="001C4F79"/>
    <w:rsid w:val="001C6EF3"/>
    <w:rsid w:val="001D25EA"/>
    <w:rsid w:val="001E0126"/>
    <w:rsid w:val="001E155B"/>
    <w:rsid w:val="001E1BBA"/>
    <w:rsid w:val="001E2AA1"/>
    <w:rsid w:val="001F0FEF"/>
    <w:rsid w:val="001F168B"/>
    <w:rsid w:val="001F5D80"/>
    <w:rsid w:val="001F7831"/>
    <w:rsid w:val="00204045"/>
    <w:rsid w:val="00205BF0"/>
    <w:rsid w:val="0020712B"/>
    <w:rsid w:val="0022606D"/>
    <w:rsid w:val="00230289"/>
    <w:rsid w:val="00231728"/>
    <w:rsid w:val="00244A05"/>
    <w:rsid w:val="00250404"/>
    <w:rsid w:val="00260409"/>
    <w:rsid w:val="002610D8"/>
    <w:rsid w:val="002648F4"/>
    <w:rsid w:val="002747EC"/>
    <w:rsid w:val="002855BF"/>
    <w:rsid w:val="002913E7"/>
    <w:rsid w:val="002A5ED1"/>
    <w:rsid w:val="002E1DC9"/>
    <w:rsid w:val="002F0D22"/>
    <w:rsid w:val="002F35E4"/>
    <w:rsid w:val="00304747"/>
    <w:rsid w:val="00305A84"/>
    <w:rsid w:val="00311B17"/>
    <w:rsid w:val="003172DC"/>
    <w:rsid w:val="00321D1B"/>
    <w:rsid w:val="00323393"/>
    <w:rsid w:val="0032537E"/>
    <w:rsid w:val="00325AE3"/>
    <w:rsid w:val="00326069"/>
    <w:rsid w:val="0035462D"/>
    <w:rsid w:val="0036459E"/>
    <w:rsid w:val="00364B41"/>
    <w:rsid w:val="00371F2D"/>
    <w:rsid w:val="0037332E"/>
    <w:rsid w:val="0037792C"/>
    <w:rsid w:val="0038104C"/>
    <w:rsid w:val="00383096"/>
    <w:rsid w:val="00384501"/>
    <w:rsid w:val="0039346C"/>
    <w:rsid w:val="003A1D60"/>
    <w:rsid w:val="003A41EF"/>
    <w:rsid w:val="003A4684"/>
    <w:rsid w:val="003B3411"/>
    <w:rsid w:val="003B40AD"/>
    <w:rsid w:val="003B462F"/>
    <w:rsid w:val="003C4E37"/>
    <w:rsid w:val="003D7ADF"/>
    <w:rsid w:val="003E16BE"/>
    <w:rsid w:val="003E1D84"/>
    <w:rsid w:val="003F1E4F"/>
    <w:rsid w:val="003F4E28"/>
    <w:rsid w:val="004006E8"/>
    <w:rsid w:val="00401855"/>
    <w:rsid w:val="00402DE7"/>
    <w:rsid w:val="0041031F"/>
    <w:rsid w:val="004221B4"/>
    <w:rsid w:val="00431744"/>
    <w:rsid w:val="004604B1"/>
    <w:rsid w:val="004644DA"/>
    <w:rsid w:val="00465587"/>
    <w:rsid w:val="004722D6"/>
    <w:rsid w:val="00477455"/>
    <w:rsid w:val="00477ED0"/>
    <w:rsid w:val="00484E7F"/>
    <w:rsid w:val="00484EB7"/>
    <w:rsid w:val="004A1F7B"/>
    <w:rsid w:val="004C3CC3"/>
    <w:rsid w:val="004C44D2"/>
    <w:rsid w:val="004D2B58"/>
    <w:rsid w:val="004D3578"/>
    <w:rsid w:val="004D380D"/>
    <w:rsid w:val="004D61EB"/>
    <w:rsid w:val="004E213A"/>
    <w:rsid w:val="004F0529"/>
    <w:rsid w:val="00503171"/>
    <w:rsid w:val="00506C28"/>
    <w:rsid w:val="00532D22"/>
    <w:rsid w:val="00534DA0"/>
    <w:rsid w:val="00540401"/>
    <w:rsid w:val="00543E6C"/>
    <w:rsid w:val="005508B8"/>
    <w:rsid w:val="00562410"/>
    <w:rsid w:val="00565087"/>
    <w:rsid w:val="0056573F"/>
    <w:rsid w:val="00572779"/>
    <w:rsid w:val="005A49C6"/>
    <w:rsid w:val="005A74C9"/>
    <w:rsid w:val="005C1C81"/>
    <w:rsid w:val="005E1653"/>
    <w:rsid w:val="005E4594"/>
    <w:rsid w:val="005F520B"/>
    <w:rsid w:val="0060788F"/>
    <w:rsid w:val="00611566"/>
    <w:rsid w:val="00613840"/>
    <w:rsid w:val="006207A8"/>
    <w:rsid w:val="00631655"/>
    <w:rsid w:val="00635D1C"/>
    <w:rsid w:val="00637ED1"/>
    <w:rsid w:val="00642E79"/>
    <w:rsid w:val="00646D99"/>
    <w:rsid w:val="00656910"/>
    <w:rsid w:val="006574C0"/>
    <w:rsid w:val="006738D8"/>
    <w:rsid w:val="00675DEA"/>
    <w:rsid w:val="00687A73"/>
    <w:rsid w:val="00695F16"/>
    <w:rsid w:val="006C14EB"/>
    <w:rsid w:val="006C66D8"/>
    <w:rsid w:val="006C7380"/>
    <w:rsid w:val="006D1E24"/>
    <w:rsid w:val="006D35DE"/>
    <w:rsid w:val="006E1417"/>
    <w:rsid w:val="006F6A2C"/>
    <w:rsid w:val="007010B2"/>
    <w:rsid w:val="00702C21"/>
    <w:rsid w:val="007069DC"/>
    <w:rsid w:val="00710201"/>
    <w:rsid w:val="00716167"/>
    <w:rsid w:val="0072073A"/>
    <w:rsid w:val="007218B3"/>
    <w:rsid w:val="007342B5"/>
    <w:rsid w:val="00734A5B"/>
    <w:rsid w:val="00744E76"/>
    <w:rsid w:val="0075126C"/>
    <w:rsid w:val="00757D40"/>
    <w:rsid w:val="007662B5"/>
    <w:rsid w:val="00771DC0"/>
    <w:rsid w:val="00781F0F"/>
    <w:rsid w:val="0078727C"/>
    <w:rsid w:val="0079049D"/>
    <w:rsid w:val="00793DC5"/>
    <w:rsid w:val="007B18D8"/>
    <w:rsid w:val="007C095F"/>
    <w:rsid w:val="007C2DD0"/>
    <w:rsid w:val="007D7125"/>
    <w:rsid w:val="007F2E08"/>
    <w:rsid w:val="008028A4"/>
    <w:rsid w:val="00805E42"/>
    <w:rsid w:val="00813245"/>
    <w:rsid w:val="0081644F"/>
    <w:rsid w:val="0082206C"/>
    <w:rsid w:val="00840DE0"/>
    <w:rsid w:val="00854440"/>
    <w:rsid w:val="0086354A"/>
    <w:rsid w:val="00864342"/>
    <w:rsid w:val="008768CA"/>
    <w:rsid w:val="00877EF9"/>
    <w:rsid w:val="00880559"/>
    <w:rsid w:val="00880C5C"/>
    <w:rsid w:val="00887529"/>
    <w:rsid w:val="0089634F"/>
    <w:rsid w:val="008A2366"/>
    <w:rsid w:val="008A39EB"/>
    <w:rsid w:val="008B013D"/>
    <w:rsid w:val="008B5306"/>
    <w:rsid w:val="008C2E2A"/>
    <w:rsid w:val="008C3057"/>
    <w:rsid w:val="008D2E4D"/>
    <w:rsid w:val="008E5B89"/>
    <w:rsid w:val="008F396F"/>
    <w:rsid w:val="008F3DCD"/>
    <w:rsid w:val="0090271F"/>
    <w:rsid w:val="00902DB9"/>
    <w:rsid w:val="0090466A"/>
    <w:rsid w:val="00923655"/>
    <w:rsid w:val="0093300A"/>
    <w:rsid w:val="00936071"/>
    <w:rsid w:val="009376CD"/>
    <w:rsid w:val="00940212"/>
    <w:rsid w:val="00942EC2"/>
    <w:rsid w:val="00952A14"/>
    <w:rsid w:val="0095617E"/>
    <w:rsid w:val="00961B32"/>
    <w:rsid w:val="00962509"/>
    <w:rsid w:val="00970DB3"/>
    <w:rsid w:val="00974BB0"/>
    <w:rsid w:val="00975BCD"/>
    <w:rsid w:val="00985B8B"/>
    <w:rsid w:val="009928A9"/>
    <w:rsid w:val="009A0AF3"/>
    <w:rsid w:val="009A1962"/>
    <w:rsid w:val="009A221E"/>
    <w:rsid w:val="009B07CD"/>
    <w:rsid w:val="009C19E9"/>
    <w:rsid w:val="009D5AD8"/>
    <w:rsid w:val="009D74A6"/>
    <w:rsid w:val="009E0E87"/>
    <w:rsid w:val="00A10F02"/>
    <w:rsid w:val="00A16E9B"/>
    <w:rsid w:val="00A204CA"/>
    <w:rsid w:val="00A209D6"/>
    <w:rsid w:val="00A22738"/>
    <w:rsid w:val="00A53724"/>
    <w:rsid w:val="00A54B2B"/>
    <w:rsid w:val="00A82346"/>
    <w:rsid w:val="00A91325"/>
    <w:rsid w:val="00A9671C"/>
    <w:rsid w:val="00AA1553"/>
    <w:rsid w:val="00AB56F9"/>
    <w:rsid w:val="00AC32D2"/>
    <w:rsid w:val="00AC6721"/>
    <w:rsid w:val="00B05380"/>
    <w:rsid w:val="00B05962"/>
    <w:rsid w:val="00B14F00"/>
    <w:rsid w:val="00B15449"/>
    <w:rsid w:val="00B16C2F"/>
    <w:rsid w:val="00B27303"/>
    <w:rsid w:val="00B47FD1"/>
    <w:rsid w:val="00B516BB"/>
    <w:rsid w:val="00B525AA"/>
    <w:rsid w:val="00B84DB2"/>
    <w:rsid w:val="00B9498A"/>
    <w:rsid w:val="00BB7A4F"/>
    <w:rsid w:val="00BC3555"/>
    <w:rsid w:val="00BE3973"/>
    <w:rsid w:val="00C12B51"/>
    <w:rsid w:val="00C13BFD"/>
    <w:rsid w:val="00C24650"/>
    <w:rsid w:val="00C25465"/>
    <w:rsid w:val="00C33079"/>
    <w:rsid w:val="00C4400C"/>
    <w:rsid w:val="00C6553E"/>
    <w:rsid w:val="00C65EA9"/>
    <w:rsid w:val="00C83A13"/>
    <w:rsid w:val="00C9068C"/>
    <w:rsid w:val="00C91210"/>
    <w:rsid w:val="00C92967"/>
    <w:rsid w:val="00CA3D0C"/>
    <w:rsid w:val="00CA654B"/>
    <w:rsid w:val="00CA6CB7"/>
    <w:rsid w:val="00CB129A"/>
    <w:rsid w:val="00CB1797"/>
    <w:rsid w:val="00CB72B8"/>
    <w:rsid w:val="00CC56ED"/>
    <w:rsid w:val="00CD2674"/>
    <w:rsid w:val="00CD4C7B"/>
    <w:rsid w:val="00CD58FE"/>
    <w:rsid w:val="00CE0440"/>
    <w:rsid w:val="00D0033F"/>
    <w:rsid w:val="00D270B6"/>
    <w:rsid w:val="00D33BE3"/>
    <w:rsid w:val="00D3792D"/>
    <w:rsid w:val="00D4757F"/>
    <w:rsid w:val="00D55E47"/>
    <w:rsid w:val="00D57316"/>
    <w:rsid w:val="00D62E19"/>
    <w:rsid w:val="00D67CD1"/>
    <w:rsid w:val="00D738D6"/>
    <w:rsid w:val="00D80795"/>
    <w:rsid w:val="00D81F61"/>
    <w:rsid w:val="00D854BE"/>
    <w:rsid w:val="00D87E00"/>
    <w:rsid w:val="00D9134D"/>
    <w:rsid w:val="00D96D11"/>
    <w:rsid w:val="00D97CBF"/>
    <w:rsid w:val="00DA2229"/>
    <w:rsid w:val="00DA6046"/>
    <w:rsid w:val="00DA7A03"/>
    <w:rsid w:val="00DB0DB8"/>
    <w:rsid w:val="00DB1818"/>
    <w:rsid w:val="00DC309B"/>
    <w:rsid w:val="00DC4DA2"/>
    <w:rsid w:val="00DC5261"/>
    <w:rsid w:val="00DE25D2"/>
    <w:rsid w:val="00DE6F08"/>
    <w:rsid w:val="00DF06DD"/>
    <w:rsid w:val="00DF45CC"/>
    <w:rsid w:val="00E46C08"/>
    <w:rsid w:val="00E471CF"/>
    <w:rsid w:val="00E570E5"/>
    <w:rsid w:val="00E572A7"/>
    <w:rsid w:val="00E62835"/>
    <w:rsid w:val="00E64C71"/>
    <w:rsid w:val="00E77645"/>
    <w:rsid w:val="00E83697"/>
    <w:rsid w:val="00EA4BB6"/>
    <w:rsid w:val="00EA66C9"/>
    <w:rsid w:val="00EB21D0"/>
    <w:rsid w:val="00EC4A25"/>
    <w:rsid w:val="00ED0259"/>
    <w:rsid w:val="00EF3E38"/>
    <w:rsid w:val="00EF4C29"/>
    <w:rsid w:val="00EF612C"/>
    <w:rsid w:val="00EF752B"/>
    <w:rsid w:val="00F025A2"/>
    <w:rsid w:val="00F036E9"/>
    <w:rsid w:val="00F050F3"/>
    <w:rsid w:val="00F07388"/>
    <w:rsid w:val="00F1623B"/>
    <w:rsid w:val="00F2026E"/>
    <w:rsid w:val="00F218E6"/>
    <w:rsid w:val="00F2210A"/>
    <w:rsid w:val="00F336E3"/>
    <w:rsid w:val="00F373E2"/>
    <w:rsid w:val="00F37743"/>
    <w:rsid w:val="00F40C20"/>
    <w:rsid w:val="00F40E7B"/>
    <w:rsid w:val="00F54A3D"/>
    <w:rsid w:val="00F54CB0"/>
    <w:rsid w:val="00F579CD"/>
    <w:rsid w:val="00F653B8"/>
    <w:rsid w:val="00F70867"/>
    <w:rsid w:val="00F71B89"/>
    <w:rsid w:val="00F7353C"/>
    <w:rsid w:val="00F76F8F"/>
    <w:rsid w:val="00F7782B"/>
    <w:rsid w:val="00F941DF"/>
    <w:rsid w:val="00F9580D"/>
    <w:rsid w:val="00FA1266"/>
    <w:rsid w:val="00FB36FA"/>
    <w:rsid w:val="00FB4995"/>
    <w:rsid w:val="00FC1192"/>
    <w:rsid w:val="00FC7F3D"/>
    <w:rsid w:val="00FD2ED8"/>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60788F"/>
    <w:rPr>
      <w:sz w:val="16"/>
      <w:szCs w:val="16"/>
    </w:rPr>
  </w:style>
  <w:style w:type="paragraph" w:styleId="CommentText">
    <w:name w:val="annotation text"/>
    <w:basedOn w:val="Normal"/>
    <w:link w:val="CommentTextChar"/>
    <w:rsid w:val="0060788F"/>
  </w:style>
  <w:style w:type="character" w:customStyle="1" w:styleId="CommentTextChar">
    <w:name w:val="Comment Text Char"/>
    <w:basedOn w:val="DefaultParagraphFont"/>
    <w:link w:val="CommentText"/>
    <w:rsid w:val="0060788F"/>
    <w:rPr>
      <w:lang w:eastAsia="en-US"/>
    </w:rPr>
  </w:style>
  <w:style w:type="paragraph" w:styleId="CommentSubject">
    <w:name w:val="annotation subject"/>
    <w:basedOn w:val="CommentText"/>
    <w:next w:val="CommentText"/>
    <w:link w:val="CommentSubjectChar"/>
    <w:rsid w:val="0060788F"/>
    <w:rPr>
      <w:b/>
      <w:bCs/>
    </w:rPr>
  </w:style>
  <w:style w:type="character" w:customStyle="1" w:styleId="CommentSubjectChar">
    <w:name w:val="Comment Subject Char"/>
    <w:basedOn w:val="CommentTextChar"/>
    <w:link w:val="CommentSubject"/>
    <w:rsid w:val="0060788F"/>
    <w:rPr>
      <w:b/>
      <w:bCs/>
      <w:lang w:eastAsia="en-US"/>
    </w:rPr>
  </w:style>
  <w:style w:type="table" w:styleId="TableGrid">
    <w:name w:val="Table Grid"/>
    <w:basedOn w:val="TableNormal"/>
    <w:rsid w:val="001E15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1E155B"/>
    <w:rPr>
      <w:rFonts w:ascii="Times" w:eastAsia="SimSun" w:hAnsi="Times" w:cs="Times"/>
      <w:sz w:val="22"/>
      <w:szCs w:val="24"/>
      <w:lang w:eastAsia="ja-JP"/>
    </w:rPr>
  </w:style>
  <w:style w:type="paragraph" w:styleId="ListParagraph">
    <w:name w:val="List Paragraph"/>
    <w:basedOn w:val="Normal"/>
    <w:link w:val="ListParagraphChar"/>
    <w:uiPriority w:val="34"/>
    <w:qFormat/>
    <w:rsid w:val="001E155B"/>
    <w:pPr>
      <w:spacing w:line="254" w:lineRule="auto"/>
      <w:ind w:left="720"/>
      <w:contextualSpacing/>
    </w:pPr>
    <w:rPr>
      <w:rFonts w:ascii="Times" w:eastAsia="SimSun" w:hAnsi="Times" w:cs="Times"/>
      <w:sz w:val="22"/>
      <w:szCs w:val="24"/>
      <w:lang w:eastAsia="ja-JP"/>
    </w:rPr>
  </w:style>
  <w:style w:type="character" w:styleId="FollowedHyperlink">
    <w:name w:val="FollowedHyperlink"/>
    <w:basedOn w:val="DefaultParagraphFont"/>
    <w:rsid w:val="00C13BFD"/>
    <w:rPr>
      <w:color w:val="954F72" w:themeColor="followedHyperlink"/>
      <w:u w:val="single"/>
    </w:rPr>
  </w:style>
  <w:style w:type="paragraph" w:customStyle="1" w:styleId="Doc-text2">
    <w:name w:val="Doc-text2"/>
    <w:basedOn w:val="Normal"/>
    <w:link w:val="Doc-text2Char"/>
    <w:qFormat/>
    <w:rsid w:val="00AB56F9"/>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AB56F9"/>
    <w:rPr>
      <w:rFonts w:ascii="Arial" w:hAnsi="Arial"/>
      <w:lang w:eastAsia="ja-JP"/>
    </w:rPr>
  </w:style>
  <w:style w:type="paragraph" w:customStyle="1" w:styleId="Comments">
    <w:name w:val="Comments"/>
    <w:basedOn w:val="Normal"/>
    <w:link w:val="CommentsChar"/>
    <w:qFormat/>
    <w:rsid w:val="00AB56F9"/>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AB56F9"/>
    <w:rPr>
      <w:rFonts w:ascii="Arial" w:hAnsi="Arial"/>
      <w:i/>
      <w:noProof/>
      <w:sz w:val="18"/>
      <w:lang w:eastAsia="ja-JP"/>
    </w:rPr>
  </w:style>
  <w:style w:type="character" w:customStyle="1" w:styleId="B1Char">
    <w:name w:val="B1 Char"/>
    <w:link w:val="B1"/>
    <w:qFormat/>
    <w:rsid w:val="001F5D80"/>
    <w:rPr>
      <w:lang w:eastAsia="en-US"/>
    </w:rPr>
  </w:style>
  <w:style w:type="character" w:customStyle="1" w:styleId="B2Char">
    <w:name w:val="B2 Char"/>
    <w:link w:val="B2"/>
    <w:qFormat/>
    <w:rsid w:val="001F5D80"/>
    <w:rPr>
      <w:lang w:eastAsia="en-US"/>
    </w:rPr>
  </w:style>
  <w:style w:type="character" w:customStyle="1" w:styleId="B3Char">
    <w:name w:val="B3 Char"/>
    <w:link w:val="B3"/>
    <w:rsid w:val="001F5D80"/>
    <w:rPr>
      <w:lang w:eastAsia="en-US"/>
    </w:rPr>
  </w:style>
  <w:style w:type="character" w:customStyle="1" w:styleId="B1Zchn">
    <w:name w:val="B1 Zchn"/>
    <w:qFormat/>
    <w:rsid w:val="008B013D"/>
    <w:rPr>
      <w:lang w:val="en-GB" w:eastAsia="en-US"/>
    </w:rPr>
  </w:style>
  <w:style w:type="character" w:customStyle="1" w:styleId="Heading5Char">
    <w:name w:val="Heading 5 Char"/>
    <w:basedOn w:val="DefaultParagraphFont"/>
    <w:link w:val="Heading5"/>
    <w:rsid w:val="0089634F"/>
    <w:rPr>
      <w:rFonts w:ascii="Arial" w:hAnsi="Arial"/>
      <w:sz w:val="22"/>
      <w:lang w:eastAsia="en-US"/>
    </w:rPr>
  </w:style>
  <w:style w:type="paragraph" w:styleId="Caption">
    <w:name w:val="caption"/>
    <w:aliases w:val="cap,cap Char,Caption Char,Caption Char1 Char,cap Char Char1,Caption Char Char1 Char,cap Char2,题注"/>
    <w:basedOn w:val="Normal"/>
    <w:next w:val="Normal"/>
    <w:link w:val="CaptionChar1"/>
    <w:qFormat/>
    <w:rsid w:val="001D25EA"/>
    <w:pPr>
      <w:overflowPunct w:val="0"/>
      <w:autoSpaceDE w:val="0"/>
      <w:autoSpaceDN w:val="0"/>
      <w:adjustRightInd w:val="0"/>
      <w:spacing w:before="120" w:after="120"/>
      <w:textAlignment w:val="baseline"/>
    </w:pPr>
    <w:rPr>
      <w:rFonts w:eastAsia="SimSun"/>
      <w:b/>
    </w:rPr>
  </w:style>
  <w:style w:type="character" w:customStyle="1" w:styleId="CaptionChar1">
    <w:name w:val="Caption Char1"/>
    <w:aliases w:val="cap Char1,cap Char Char,Caption Char Char,Caption Char1 Char Char,cap Char Char1 Char,Caption Char Char1 Char Char,cap Char2 Char,题注 Char"/>
    <w:link w:val="Caption"/>
    <w:rsid w:val="001D25EA"/>
    <w:rPr>
      <w:rFonts w:eastAsia="SimSu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021348">
      <w:bodyDiv w:val="1"/>
      <w:marLeft w:val="0"/>
      <w:marRight w:val="0"/>
      <w:marTop w:val="0"/>
      <w:marBottom w:val="0"/>
      <w:divBdr>
        <w:top w:val="none" w:sz="0" w:space="0" w:color="auto"/>
        <w:left w:val="none" w:sz="0" w:space="0" w:color="auto"/>
        <w:bottom w:val="none" w:sz="0" w:space="0" w:color="auto"/>
        <w:right w:val="none" w:sz="0" w:space="0" w:color="auto"/>
      </w:divBdr>
    </w:div>
    <w:div w:id="65353447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6118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91e/Docs/RP-210918.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f9a7c34c960e8c49812189037bcab469">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92487fa15b2f32c76a7c34bb3528ce6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5AIRPNAIUNRU-859666464-7621</_dlc_DocId>
    <_dlc_DocIdUrl xmlns="71c5aaf6-e6ce-465b-b873-5148d2a4c105">
      <Url>https://nokia.sharepoint.com/sites/c5g/e2earch/_layouts/15/DocIdRedir.aspx?ID=5AIRPNAIUNRU-859666464-7621</Url>
      <Description>5AIRPNAIUNRU-859666464-7621</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09D5A0B9-4DEC-45D8-9346-D7304AAE3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71A54A-228D-41E2-8228-283EE507151C}">
  <ds:schemaRefs>
    <ds:schemaRef ds:uri="http://schemas.openxmlformats.org/officeDocument/2006/bibliography"/>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700</Words>
  <Characters>3570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4262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cp:revision>
  <dcterms:created xsi:type="dcterms:W3CDTF">2021-03-31T09:53:00Z</dcterms:created>
  <dcterms:modified xsi:type="dcterms:W3CDTF">2021-04-01T11:23:00Z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d15b44bf-568b-4f68-955f-c75ef2f3aa9f</vt:lpwstr>
  </property>
</Properties>
</file>